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auto" w:val="clear"/>
        </w:rPr>
        <w:t xml:space="preserve">Предоставление услуг проката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  <w:t xml:space="preserve">Предметы проката технических средств реабилитации предоставляются гражданам по предъявлению ими документа, удостоверяющего личность. Предоставление во временное пользование гражданам предметов проката оформляется договором проката технических средств реабилитации (приложение к Положению о пункте проката технических средств реабилитации КУВО "УСЗН Богучарского района").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  <w:t xml:space="preserve">Проверка исправности предметов проката осуществляется в присутствии гражданина. При выдаче предметов проката Учреждение знакомит гражданина с правилами технической эксплуатации и инструкцией о пользовании предметом.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  <w:t xml:space="preserve">Предоставляя во временное пользование предметы проката, Учреждение предупреждает гражданина о материальной ответственности за порчу, утерю предметов. Гражданин обязан пользоваться предметом проката бережно и в соответствии с его назначением.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  <w:t xml:space="preserve">Пункт проката предоставляет во временное пользование гражданам технические средства реабилитации за плату в соответствии с тарифами, утвержденными приказом департамента труда и социального развития Воронежской области от 21.11.2013г. №1403/ОД.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  <w:t xml:space="preserve">При получении предмета проката гражданин вносит авансовую сумму в бухгалтерию учреждения. Авансовая сумма должна соответствовать стоимости, предусмотренной в договоре на срок проката изделия.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  <w:t xml:space="preserve">При возврате предмета проката Учреждение делает перерасчет за пользование за весь срок проката. Число дней пользования предметом проката исчисляется по календарным дням. Если день возврата предмета проката совпадает с выходным днем Учреждения, то предмет проката должен быть возвращен в следующий за ним рабочий день.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  <w:t xml:space="preserve">В случае выхода из строя предмета проката Учреждение устраняет повреждение или заменяет вышедший из строя предмет другим, за исключением случаев, когда выход из строя был вызван нарушением гражданином правил эксплуатации и содержания.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  <w:t xml:space="preserve">Гражданин обязан вернуть предмет в пункт проката в том состоянии, в котором он его получил, с учетом нормального износа.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  <w:t xml:space="preserve">Все споры и разногласия между гражданином и Учреждением, если они не будут разрешены путем переговоров подлежат разрешению в суде в установленном законодательством Российской Федерации порядке.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</w:pPr>
      <w:r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auto" w:val="clear"/>
        </w:rPr>
        <w:t xml:space="preserve">ТАРИФЫ</w:t>
      </w:r>
    </w:p>
    <w:p>
      <w:pPr>
        <w:spacing w:before="100" w:after="100" w:line="240"/>
        <w:ind w:right="0" w:left="0" w:firstLine="0"/>
        <w:jc w:val="center"/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auto" w:val="clear"/>
        </w:rPr>
        <w:t xml:space="preserve">на платные услуги,оказываемые пунктом проката технических средств реабилитации</w:t>
      </w:r>
    </w:p>
    <w:tbl>
      <w:tblPr/>
      <w:tblGrid>
        <w:gridCol w:w="7472"/>
        <w:gridCol w:w="3313"/>
        <w:gridCol w:w="5415"/>
      </w:tblGrid>
      <w:tr>
        <w:trPr>
          <w:trHeight w:val="1" w:hRule="atLeast"/>
          <w:jc w:val="center"/>
        </w:trPr>
        <w:tc>
          <w:tcPr>
            <w:tcW w:w="74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5"/>
                <w:shd w:fill="auto" w:val="clear"/>
              </w:rPr>
              <w:t xml:space="preserve">Вид услуг</w:t>
            </w:r>
          </w:p>
        </w:tc>
        <w:tc>
          <w:tcPr>
            <w:tcW w:w="33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5"/>
                <w:shd w:fill="auto" w:val="clear"/>
              </w:rPr>
              <w:t xml:space="preserve">Единица измерения</w:t>
            </w:r>
          </w:p>
        </w:tc>
        <w:tc>
          <w:tcPr>
            <w:tcW w:w="5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Arial" w:hAnsi="Arial" w:cs="Arial" w:eastAsia="Arial"/>
                <w:color w:val="333333"/>
                <w:spacing w:val="0"/>
                <w:position w:val="0"/>
                <w:sz w:val="25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5"/>
                <w:shd w:fill="auto" w:val="clear"/>
              </w:rPr>
              <w:t xml:space="preserve">Стоимость проката одной услуги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5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5"/>
                <w:shd w:fill="auto" w:val="clear"/>
              </w:rPr>
              <w:t xml:space="preserve">рублей /месяц)</w:t>
            </w:r>
          </w:p>
        </w:tc>
      </w:tr>
      <w:tr>
        <w:trPr>
          <w:trHeight w:val="1" w:hRule="atLeast"/>
          <w:jc w:val="center"/>
        </w:trPr>
        <w:tc>
          <w:tcPr>
            <w:tcW w:w="74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5"/>
                <w:shd w:fill="auto" w:val="clear"/>
              </w:rPr>
              <w:t xml:space="preserve">Кресло-коляска с ручным приводом</w:t>
            </w:r>
          </w:p>
        </w:tc>
        <w:tc>
          <w:tcPr>
            <w:tcW w:w="33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5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5"/>
                <w:shd w:fill="auto" w:val="clear"/>
              </w:rPr>
              <w:t xml:space="preserve">шт.</w:t>
            </w:r>
          </w:p>
        </w:tc>
        <w:tc>
          <w:tcPr>
            <w:tcW w:w="5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5"/>
                <w:shd w:fill="auto" w:val="clear"/>
              </w:rPr>
              <w:t xml:space="preserve">305-28</w:t>
            </w:r>
          </w:p>
        </w:tc>
      </w:tr>
      <w:tr>
        <w:trPr>
          <w:trHeight w:val="1" w:hRule="atLeast"/>
          <w:jc w:val="center"/>
        </w:trPr>
        <w:tc>
          <w:tcPr>
            <w:tcW w:w="74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5"/>
                <w:shd w:fill="auto" w:val="clear"/>
              </w:rPr>
              <w:t xml:space="preserve">Ходунки</w:t>
            </w:r>
          </w:p>
        </w:tc>
        <w:tc>
          <w:tcPr>
            <w:tcW w:w="33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5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5"/>
                <w:shd w:fill="auto" w:val="clear"/>
              </w:rPr>
              <w:t xml:space="preserve">шт.</w:t>
            </w:r>
          </w:p>
        </w:tc>
        <w:tc>
          <w:tcPr>
            <w:tcW w:w="5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5"/>
                <w:shd w:fill="auto" w:val="clear"/>
              </w:rPr>
              <w:t xml:space="preserve">169-31</w:t>
            </w:r>
          </w:p>
        </w:tc>
      </w:tr>
      <w:tr>
        <w:trPr>
          <w:trHeight w:val="1" w:hRule="atLeast"/>
          <w:jc w:val="center"/>
        </w:trPr>
        <w:tc>
          <w:tcPr>
            <w:tcW w:w="74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5"/>
                <w:shd w:fill="auto" w:val="clear"/>
              </w:rPr>
              <w:t xml:space="preserve">Трость алюминиевая с регулируемой длиной</w:t>
            </w:r>
          </w:p>
        </w:tc>
        <w:tc>
          <w:tcPr>
            <w:tcW w:w="33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5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5"/>
                <w:shd w:fill="auto" w:val="clear"/>
              </w:rPr>
              <w:t xml:space="preserve">шт.</w:t>
            </w:r>
          </w:p>
        </w:tc>
        <w:tc>
          <w:tcPr>
            <w:tcW w:w="5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5"/>
                <w:shd w:fill="auto" w:val="clear"/>
              </w:rPr>
              <w:t xml:space="preserve">35-13</w:t>
            </w:r>
          </w:p>
        </w:tc>
      </w:tr>
      <w:tr>
        <w:trPr>
          <w:trHeight w:val="1" w:hRule="atLeast"/>
          <w:jc w:val="center"/>
        </w:trPr>
        <w:tc>
          <w:tcPr>
            <w:tcW w:w="747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5"/>
                <w:shd w:fill="auto" w:val="clear"/>
              </w:rPr>
              <w:t xml:space="preserve">Костыли опорные металлические</w:t>
            </w:r>
          </w:p>
        </w:tc>
        <w:tc>
          <w:tcPr>
            <w:tcW w:w="331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5"/>
                <w:shd w:fill="auto" w:val="clear"/>
              </w:rPr>
              <w:t xml:space="preserve">1</w:t>
            </w: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5"/>
                <w:shd w:fill="auto" w:val="clear"/>
              </w:rPr>
              <w:t xml:space="preserve">шт.</w:t>
            </w:r>
          </w:p>
        </w:tc>
        <w:tc>
          <w:tcPr>
            <w:tcW w:w="541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333333"/>
                <w:spacing w:val="0"/>
                <w:position w:val="0"/>
                <w:sz w:val="25"/>
                <w:shd w:fill="auto" w:val="clear"/>
              </w:rPr>
              <w:t xml:space="preserve">48-47</w:t>
            </w:r>
          </w:p>
        </w:tc>
      </w:tr>
    </w:tbl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auto" w:val="clear"/>
        </w:rPr>
        <w:t xml:space="preserve">По всем интересующим вопросам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auto" w:val="clear"/>
        </w:rPr>
        <w:t xml:space="preserve"> 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auto" w:val="clear"/>
        </w:rPr>
        <w:t xml:space="preserve">Вы можете обратиться в Казенное Учреждение Воронежской области "Управление социальной защиты населения Богучарского района" в соответствии с графиком приема населения по адресу: г.Богучар, ул.1Мая, дом 2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auto" w:val="clear"/>
        </w:rPr>
        <w:t xml:space="preserve">»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auto" w:val="clear"/>
        </w:rPr>
        <w:t xml:space="preserve">Д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5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auto" w:val="clear"/>
        </w:rPr>
        <w:t xml:space="preserve">Телефон:</w:t>
      </w:r>
      <w:r>
        <w:rPr>
          <w:rFonts w:ascii="Arial" w:hAnsi="Arial" w:cs="Arial" w:eastAsia="Arial"/>
          <w:b/>
          <w:color w:val="333333"/>
          <w:spacing w:val="0"/>
          <w:position w:val="0"/>
          <w:sz w:val="25"/>
          <w:shd w:fill="auto" w:val="clear"/>
        </w:rPr>
        <w:t xml:space="preserve">  +7 (47366) 2-26-75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